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4FC" w:rsidRDefault="009124FC" w:rsidP="009124FC">
      <w:pPr>
        <w:pStyle w:val="2"/>
        <w:shd w:val="clear" w:color="auto" w:fill="FFFFFF"/>
        <w:spacing w:before="150" w:beforeAutospacing="0" w:after="225" w:afterAutospacing="0"/>
        <w:textAlignment w:val="baseline"/>
        <w:rPr>
          <w:rFonts w:ascii="Georgia" w:hAnsi="Georgia"/>
          <w:color w:val="333333"/>
          <w:sz w:val="45"/>
          <w:szCs w:val="45"/>
          <w:lang w:val="en-US"/>
        </w:rPr>
      </w:pPr>
      <w:r>
        <w:rPr>
          <w:noProof/>
        </w:rPr>
        <w:drawing>
          <wp:inline distT="0" distB="0" distL="0" distR="0">
            <wp:extent cx="1809750" cy="666750"/>
            <wp:effectExtent l="19050" t="0" r="0" b="0"/>
            <wp:docPr id="1" name="Рисунок 1" descr="http://etaplius.lt/wp-content/uploads/2012/02/etaplius_naujienu_portalas1-190x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taplius.lt/wp-content/uploads/2012/02/etaplius_naujienu_portalas1-190x7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32D4">
        <w:rPr>
          <w:rFonts w:ascii="Arial" w:hAnsi="Arial" w:cs="Arial"/>
          <w:color w:val="000000"/>
          <w:sz w:val="18"/>
          <w:szCs w:val="18"/>
        </w:rPr>
        <w:br/>
      </w:r>
      <w:r w:rsidR="005F32D4">
        <w:rPr>
          <w:rFonts w:ascii="Arial" w:hAnsi="Arial" w:cs="Arial"/>
          <w:color w:val="000000"/>
          <w:sz w:val="18"/>
          <w:szCs w:val="18"/>
        </w:rPr>
        <w:br/>
      </w:r>
      <w:hyperlink r:id="rId5" w:anchor="ixzz3PZETEtN7" w:history="1"/>
      <w:r w:rsidR="005F32D4">
        <w:t xml:space="preserve"> </w:t>
      </w:r>
      <w:r w:rsidRPr="009124FC">
        <w:rPr>
          <w:rFonts w:ascii="Georgia" w:hAnsi="Georgia"/>
          <w:color w:val="333333"/>
          <w:sz w:val="45"/>
          <w:szCs w:val="45"/>
        </w:rPr>
        <w:t>„</w:t>
      </w:r>
      <w:proofErr w:type="spellStart"/>
      <w:r w:rsidRPr="009124FC">
        <w:rPr>
          <w:rFonts w:ascii="Georgia" w:hAnsi="Georgia"/>
          <w:color w:val="333333"/>
          <w:sz w:val="45"/>
          <w:szCs w:val="45"/>
        </w:rPr>
        <w:t>Linksmųjų</w:t>
      </w:r>
      <w:proofErr w:type="spellEnd"/>
      <w:r w:rsidRPr="009124FC">
        <w:rPr>
          <w:rFonts w:ascii="Georgia" w:hAnsi="Georgia"/>
          <w:color w:val="333333"/>
          <w:sz w:val="45"/>
          <w:szCs w:val="45"/>
        </w:rPr>
        <w:t xml:space="preserve"> </w:t>
      </w:r>
      <w:proofErr w:type="spellStart"/>
      <w:r w:rsidRPr="009124FC">
        <w:rPr>
          <w:rFonts w:ascii="Georgia" w:hAnsi="Georgia"/>
          <w:color w:val="333333"/>
          <w:sz w:val="45"/>
          <w:szCs w:val="45"/>
        </w:rPr>
        <w:t>keksiukų</w:t>
      </w:r>
      <w:proofErr w:type="spellEnd"/>
      <w:r w:rsidRPr="009124FC">
        <w:rPr>
          <w:rFonts w:ascii="Georgia" w:hAnsi="Georgia"/>
          <w:color w:val="333333"/>
          <w:sz w:val="45"/>
          <w:szCs w:val="45"/>
        </w:rPr>
        <w:t xml:space="preserve">“ </w:t>
      </w:r>
      <w:proofErr w:type="spellStart"/>
      <w:r w:rsidRPr="009124FC">
        <w:rPr>
          <w:rFonts w:ascii="Georgia" w:hAnsi="Georgia"/>
          <w:color w:val="333333"/>
          <w:sz w:val="45"/>
          <w:szCs w:val="45"/>
        </w:rPr>
        <w:t>aukos</w:t>
      </w:r>
      <w:proofErr w:type="spellEnd"/>
      <w:r w:rsidRPr="009124FC">
        <w:rPr>
          <w:rFonts w:ascii="Georgia" w:hAnsi="Georgia"/>
          <w:color w:val="333333"/>
          <w:sz w:val="45"/>
          <w:szCs w:val="45"/>
        </w:rPr>
        <w:t xml:space="preserve"> – </w:t>
      </w:r>
      <w:proofErr w:type="spellStart"/>
      <w:r w:rsidRPr="009124FC">
        <w:rPr>
          <w:rFonts w:ascii="Georgia" w:hAnsi="Georgia"/>
          <w:color w:val="333333"/>
          <w:sz w:val="45"/>
          <w:szCs w:val="45"/>
        </w:rPr>
        <w:t>vėžiu</w:t>
      </w:r>
      <w:proofErr w:type="spellEnd"/>
      <w:r w:rsidRPr="009124FC">
        <w:rPr>
          <w:rFonts w:ascii="Georgia" w:hAnsi="Georgia"/>
          <w:color w:val="333333"/>
          <w:sz w:val="45"/>
          <w:szCs w:val="45"/>
        </w:rPr>
        <w:t xml:space="preserve"> </w:t>
      </w:r>
      <w:proofErr w:type="spellStart"/>
      <w:r w:rsidRPr="009124FC">
        <w:rPr>
          <w:rFonts w:ascii="Georgia" w:hAnsi="Georgia"/>
          <w:color w:val="333333"/>
          <w:sz w:val="45"/>
          <w:szCs w:val="45"/>
        </w:rPr>
        <w:t>sergantiems</w:t>
      </w:r>
      <w:proofErr w:type="spellEnd"/>
      <w:r w:rsidRPr="009124FC">
        <w:rPr>
          <w:rFonts w:ascii="Georgia" w:hAnsi="Georgia"/>
          <w:color w:val="333333"/>
          <w:sz w:val="45"/>
          <w:szCs w:val="45"/>
        </w:rPr>
        <w:t xml:space="preserve"> </w:t>
      </w:r>
      <w:proofErr w:type="spellStart"/>
      <w:r w:rsidRPr="009124FC">
        <w:rPr>
          <w:rFonts w:ascii="Georgia" w:hAnsi="Georgia"/>
          <w:color w:val="333333"/>
          <w:sz w:val="45"/>
          <w:szCs w:val="45"/>
        </w:rPr>
        <w:t>vaikams</w:t>
      </w:r>
      <w:proofErr w:type="spellEnd"/>
    </w:p>
    <w:p w:rsidR="00FC12EE" w:rsidRPr="00FC12EE" w:rsidRDefault="00FC12EE" w:rsidP="009124FC">
      <w:pPr>
        <w:pStyle w:val="2"/>
        <w:shd w:val="clear" w:color="auto" w:fill="FFFFFF"/>
        <w:spacing w:before="150" w:beforeAutospacing="0" w:after="225" w:afterAutospacing="0"/>
        <w:textAlignment w:val="baseline"/>
        <w:rPr>
          <w:rFonts w:ascii="Georgia" w:hAnsi="Georgia"/>
          <w:color w:val="333333"/>
          <w:sz w:val="45"/>
          <w:szCs w:val="45"/>
          <w:lang w:val="en-US"/>
        </w:rPr>
      </w:pPr>
    </w:p>
    <w:p w:rsidR="00FC12EE" w:rsidRPr="00FC12EE" w:rsidRDefault="00FC12EE" w:rsidP="00FC12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12EE">
        <w:rPr>
          <w:rFonts w:ascii="Arial" w:eastAsia="Times New Roman" w:hAnsi="Arial" w:cs="Arial"/>
          <w:color w:val="333333"/>
          <w:sz w:val="19"/>
          <w:szCs w:val="19"/>
          <w:shd w:val="clear" w:color="auto" w:fill="FFFFFF"/>
          <w:lang w:eastAsia="ru-RU"/>
        </w:rPr>
        <w:t>2015-01-07 16:32</w:t>
      </w:r>
      <w:r w:rsidRPr="00FC12EE">
        <w:rPr>
          <w:rFonts w:ascii="Arial" w:eastAsia="Times New Roman" w:hAnsi="Arial" w:cs="Arial"/>
          <w:color w:val="333333"/>
          <w:sz w:val="19"/>
          <w:lang w:eastAsia="ru-RU"/>
        </w:rPr>
        <w:t> </w:t>
      </w:r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</w:p>
    <w:p w:rsidR="00FC12EE" w:rsidRPr="00FC12EE" w:rsidRDefault="00FC12EE" w:rsidP="00FC12EE">
      <w:pPr>
        <w:shd w:val="clear" w:color="auto" w:fill="FFFFFF"/>
        <w:spacing w:after="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7FAE"/>
          <w:sz w:val="19"/>
          <w:szCs w:val="19"/>
          <w:bdr w:val="none" w:sz="0" w:space="0" w:color="auto" w:frame="1"/>
          <w:lang w:eastAsia="ru-RU"/>
        </w:rPr>
        <w:drawing>
          <wp:inline distT="0" distB="0" distL="0" distR="0">
            <wp:extent cx="2857500" cy="1571625"/>
            <wp:effectExtent l="19050" t="0" r="0" b="0"/>
            <wp:docPr id="4" name="Рисунок 4" descr="http://etaplius.lt/wp-content/uploads/2015/01/DSC02761-300x165.jpg">
              <a:hlinkClick xmlns:a="http://schemas.openxmlformats.org/drawingml/2006/main" r:id="rId6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etaplius.lt/wp-content/uploads/2015/01/DSC02761-300x165.jpg">
                      <a:hlinkClick r:id="rId6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Bendrojo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ugdymo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mokyklų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neformaliojo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vaikų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švietimo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koordinatoriai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jau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susumavo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„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Linksmųjų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keksiukų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“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akcijos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rezultatus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–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surinkta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ir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Respublikinės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Šiaulių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ligoninės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Onkologijos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klinikai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paaukota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6417,70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Lt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.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Šie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pinigai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bus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skirti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vaikų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onkologinėms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ligoms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diagnozuoti</w:t>
      </w:r>
      <w:proofErr w:type="spellEnd"/>
      <w:r w:rsidRPr="00FC12EE">
        <w:rPr>
          <w:rFonts w:ascii="Arial" w:eastAsia="Times New Roman" w:hAnsi="Arial" w:cs="Arial"/>
          <w:b/>
          <w:bCs/>
          <w:color w:val="333333"/>
          <w:sz w:val="19"/>
          <w:lang w:eastAsia="ru-RU"/>
        </w:rPr>
        <w:t>.</w:t>
      </w:r>
    </w:p>
    <w:p w:rsidR="00FC12EE" w:rsidRPr="00FC12EE" w:rsidRDefault="00FC12EE" w:rsidP="00FC12EE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Besibaigiančiais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2014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metais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miesto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mokyklų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moksleivių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vykdyta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akcija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sulaukė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didelio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susidomėjimo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Pasak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Šiaulių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miesto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Švietimo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skyriaus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Veiklos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analizės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ir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neformaliojo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ugdymo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poskyrio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vyr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specialistės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Daivos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Vaičiulienės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akcijos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rezultatus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įvertinusios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Neformaliojo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vaikų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švietimo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koordinatorių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susirinkime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vykusiame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S.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Šalkauskio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gimnazijoje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pasidžiaugti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yra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kuo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Nors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akcijoje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dalyvavo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panašiai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tiek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pat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mokyklų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kaip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ir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praėjusį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kartą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tačiau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aukų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surinkta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dvigubai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daugiau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FC12EE" w:rsidRPr="00FC12EE" w:rsidRDefault="00FC12EE" w:rsidP="00FC12EE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Šiaulių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miesto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bendrojo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ugdymo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mokyklų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neformaliojo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vaikų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švietimo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koordinatorių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tarybos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iniciatyva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surengtoje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„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Linksmųjų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keksiukų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“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akcijoje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dalyvavo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lopšelio-darželio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„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Bangelė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“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vaikai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Taip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pat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 „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Saulės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“ ,  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Tėvo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Benedikto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Andruškos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pradinės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mokyklos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Salduvės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  „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Rasos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“,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Ragainės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 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Jovaro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Rėkyvos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„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Romuvos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“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progimnazijų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„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Juventos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“,  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Didždvario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  J.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Janonio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S.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Daukanto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„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Romuvos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“, S.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Šalkauskio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, „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Saulėtekio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“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gimnazijų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bei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r w:rsidRPr="00FC12EE">
        <w:rPr>
          <w:rFonts w:ascii="Arial" w:eastAsia="Times New Roman" w:hAnsi="Arial" w:cs="Arial"/>
          <w:color w:val="333333"/>
          <w:sz w:val="19"/>
          <w:szCs w:val="19"/>
          <w:shd w:val="clear" w:color="auto" w:fill="FFFF00"/>
          <w:lang w:eastAsia="ru-RU"/>
        </w:rPr>
        <w:t>„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shd w:val="clear" w:color="auto" w:fill="FFFF00"/>
          <w:lang w:eastAsia="ru-RU"/>
        </w:rPr>
        <w:t>Santarvės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shd w:val="clear" w:color="auto" w:fill="FFFF00"/>
          <w:lang w:eastAsia="ru-RU"/>
        </w:rPr>
        <w:t xml:space="preserve">“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shd w:val="clear" w:color="auto" w:fill="FFFF00"/>
          <w:lang w:eastAsia="ru-RU"/>
        </w:rPr>
        <w:t>vidurinės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shd w:val="clear" w:color="auto" w:fill="FFFF00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shd w:val="clear" w:color="auto" w:fill="FFFF00"/>
          <w:lang w:eastAsia="ru-RU"/>
        </w:rPr>
        <w:t>mokyklos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shd w:val="clear" w:color="auto" w:fill="FFFF00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shd w:val="clear" w:color="auto" w:fill="FFFF00"/>
          <w:lang w:eastAsia="ru-RU"/>
        </w:rPr>
        <w:t>mokiniai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shd w:val="clear" w:color="auto" w:fill="FFFF00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shd w:val="clear" w:color="auto" w:fill="FFFF00"/>
          <w:lang w:eastAsia="ru-RU"/>
        </w:rPr>
        <w:t>ir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shd w:val="clear" w:color="auto" w:fill="FFFF00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shd w:val="clear" w:color="auto" w:fill="FFFF00"/>
          <w:lang w:eastAsia="ru-RU"/>
        </w:rPr>
        <w:t>jų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shd w:val="clear" w:color="auto" w:fill="FFFF00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shd w:val="clear" w:color="auto" w:fill="FFFF00"/>
          <w:lang w:eastAsia="ru-RU"/>
        </w:rPr>
        <w:t>mokytojai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Visi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jie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aktyviai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dalyvavo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Šiaulių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turizmo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informacijos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centro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ir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Šiaulių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miesto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savivaldybės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Kultūros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skyriaus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organizuojamame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mėnesio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trukmės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renginių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cikle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„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Saldumynų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ir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kelionių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Kalėdos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“.</w:t>
      </w:r>
    </w:p>
    <w:p w:rsidR="00FC12EE" w:rsidRPr="00FC12EE" w:rsidRDefault="00FC12EE" w:rsidP="00FC12EE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Moksleiviai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kvietė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miestiečius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aukoti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Respublikinės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Šiaulių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ligoninės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Onkologijos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klinikai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ir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kaip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paramos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akcijos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simbolį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dovanojo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savo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pačių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keptus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„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Laimės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keksiukus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“.</w:t>
      </w:r>
    </w:p>
    <w:p w:rsidR="00FC12EE" w:rsidRPr="00FC12EE" w:rsidRDefault="00FC12EE" w:rsidP="00FC12EE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Akcijos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organizatoriams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ir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dalyviams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dėkojusi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Onkologijos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klinikos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vyresnioji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slaugos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administratorė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Daiva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Juškevičienė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sakė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jog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„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Linksmųjų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keksiukų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“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akcijos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dėka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ne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tik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sergantieji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sulaukia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reikšmingos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ir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svarbiausia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jiems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labai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reikalingos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paramos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.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Mažieji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akcijos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dalyviai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–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mokyklų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moksleiviai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taip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pat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mokomi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gerumo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atjautos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supratimo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jog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darant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gerus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darbus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nereikia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tikėtis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atlygio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–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geri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darbai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išlieka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daug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ilgiau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jais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įprasminama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žmogaus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būtis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šioje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Žemėje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 „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Tegu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Jūsų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kelyje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nestinga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ieškančiųjų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pagalbos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ir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jūsų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šviesi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misija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–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padėti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vargstančiam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tegu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tęsiasi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iš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kartos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į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kartą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“, –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sakė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Onkologijos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klinikos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atstovė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.</w:t>
      </w:r>
    </w:p>
    <w:p w:rsidR="00FC12EE" w:rsidRPr="00FC12EE" w:rsidRDefault="00FC12EE" w:rsidP="00FC12EE">
      <w:pPr>
        <w:shd w:val="clear" w:color="auto" w:fill="FFFFFF"/>
        <w:spacing w:after="150" w:line="270" w:lineRule="atLeast"/>
        <w:textAlignment w:val="baseline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Zita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KATKIENĖ,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Respublikinės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Šiaulių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ligoninės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viešųjų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ryšių</w:t>
      </w:r>
      <w:proofErr w:type="spellEnd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</w:t>
      </w:r>
      <w:proofErr w:type="spellStart"/>
      <w:r w:rsidRPr="00FC12EE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specialistė</w:t>
      </w:r>
      <w:proofErr w:type="spellEnd"/>
    </w:p>
    <w:p w:rsidR="0080459C" w:rsidRDefault="0080459C"/>
    <w:sectPr w:rsidR="0080459C" w:rsidSect="00804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2D4"/>
    <w:rsid w:val="005F32D4"/>
    <w:rsid w:val="0080459C"/>
    <w:rsid w:val="009124FC"/>
    <w:rsid w:val="00FC1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59C"/>
  </w:style>
  <w:style w:type="paragraph" w:styleId="2">
    <w:name w:val="heading 2"/>
    <w:basedOn w:val="a"/>
    <w:link w:val="20"/>
    <w:uiPriority w:val="9"/>
    <w:qFormat/>
    <w:rsid w:val="00912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F32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12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C12EE"/>
  </w:style>
  <w:style w:type="paragraph" w:styleId="a4">
    <w:name w:val="Normal (Web)"/>
    <w:basedOn w:val="a"/>
    <w:uiPriority w:val="99"/>
    <w:semiHidden/>
    <w:unhideWhenUsed/>
    <w:rsid w:val="00FC1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C1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5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taplius.lt/wp-content/uploads/2015/01/DSC02761-e1420641097274.jpg" TargetMode="External"/><Relationship Id="rId5" Type="http://schemas.openxmlformats.org/officeDocument/2006/relationships/hyperlink" Target="http://www.delfi.lt/gyvenimas/laisvalaikis/11-dalyku-del-kuriu-verta-nukeliauti-i-geletaja-madeiros-sala.d?id=66927428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Olia</cp:lastModifiedBy>
  <cp:revision>1</cp:revision>
  <dcterms:created xsi:type="dcterms:W3CDTF">2015-01-22T16:13:00Z</dcterms:created>
  <dcterms:modified xsi:type="dcterms:W3CDTF">2015-01-22T16:53:00Z</dcterms:modified>
</cp:coreProperties>
</file>